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《会计英语》课程教学大纲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341"/>
        <w:gridCol w:w="347"/>
        <w:gridCol w:w="605"/>
        <w:gridCol w:w="1359"/>
        <w:gridCol w:w="1470"/>
        <w:gridCol w:w="1444"/>
        <w:gridCol w:w="42"/>
        <w:gridCol w:w="473"/>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286"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课程名称：会计英语</w:t>
            </w:r>
          </w:p>
        </w:tc>
        <w:tc>
          <w:tcPr>
            <w:tcW w:w="5115"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课程类别（必修/选修）：专业选修课</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rPr>
              <w:t xml:space="preserve">课程英文名称： </w:t>
            </w:r>
            <w:r>
              <w:rPr>
                <w:rFonts w:hint="eastAsia" w:ascii="宋体" w:hAnsi="宋体" w:eastAsia="宋体"/>
                <w:b/>
                <w:sz w:val="21"/>
                <w:szCs w:val="21"/>
                <w:lang w:eastAsia="zh-CN"/>
              </w:rPr>
              <w:t>Accounting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286"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b/>
                <w:sz w:val="21"/>
                <w:szCs w:val="21"/>
                <w:lang w:eastAsia="zh-CN"/>
              </w:rPr>
              <w:t>32/2/2</w:t>
            </w:r>
          </w:p>
        </w:tc>
        <w:tc>
          <w:tcPr>
            <w:tcW w:w="5115"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先修课程：大学英语、会计学原理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286"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授课时间：</w:t>
            </w:r>
            <w:r>
              <w:rPr>
                <w:rFonts w:ascii="宋体" w:hAnsi="宋体" w:eastAsia="宋体"/>
                <w:b/>
                <w:sz w:val="21"/>
                <w:szCs w:val="21"/>
                <w:lang w:eastAsia="zh-CN"/>
              </w:rPr>
              <w:t>1-</w:t>
            </w:r>
            <w:r>
              <w:rPr>
                <w:rFonts w:hint="eastAsia" w:ascii="宋体" w:hAnsi="宋体" w:eastAsia="宋体"/>
                <w:b/>
                <w:sz w:val="21"/>
                <w:szCs w:val="21"/>
                <w:lang w:eastAsia="zh-CN"/>
              </w:rPr>
              <w:t>16</w:t>
            </w:r>
            <w:r>
              <w:rPr>
                <w:rFonts w:ascii="宋体" w:hAnsi="宋体" w:eastAsia="宋体"/>
                <w:b/>
                <w:sz w:val="21"/>
                <w:szCs w:val="21"/>
                <w:lang w:eastAsia="zh-CN"/>
              </w:rPr>
              <w:t xml:space="preserve"> </w:t>
            </w:r>
            <w:r>
              <w:rPr>
                <w:rFonts w:hint="eastAsia" w:ascii="宋体" w:hAnsi="宋体" w:eastAsia="宋体"/>
                <w:b/>
                <w:sz w:val="21"/>
                <w:szCs w:val="21"/>
                <w:lang w:eastAsia="zh-CN"/>
              </w:rPr>
              <w:t>周</w:t>
            </w:r>
            <w:r>
              <w:rPr>
                <w:rFonts w:ascii="宋体" w:hAnsi="宋体" w:eastAsia="宋体"/>
                <w:b/>
                <w:sz w:val="21"/>
                <w:szCs w:val="21"/>
                <w:lang w:eastAsia="zh-CN"/>
              </w:rPr>
              <w:t xml:space="preserve"> </w:t>
            </w:r>
            <w:r>
              <w:rPr>
                <w:rFonts w:hint="eastAsia" w:ascii="宋体" w:hAnsi="宋体" w:eastAsia="宋体"/>
                <w:b/>
                <w:sz w:val="21"/>
                <w:szCs w:val="21"/>
                <w:lang w:eastAsia="zh-CN"/>
              </w:rPr>
              <w:t>周一（1-2节、3</w:t>
            </w:r>
            <w:r>
              <w:rPr>
                <w:rFonts w:ascii="宋体" w:hAnsi="宋体" w:eastAsia="宋体"/>
                <w:b/>
                <w:sz w:val="21"/>
                <w:szCs w:val="21"/>
                <w:lang w:eastAsia="zh-CN"/>
              </w:rPr>
              <w:t>-</w:t>
            </w:r>
            <w:r>
              <w:rPr>
                <w:rFonts w:hint="eastAsia" w:ascii="宋体" w:hAnsi="宋体" w:eastAsia="宋体"/>
                <w:b/>
                <w:sz w:val="21"/>
                <w:szCs w:val="21"/>
                <w:lang w:eastAsia="zh-CN"/>
              </w:rPr>
              <w:t>4节）</w:t>
            </w:r>
          </w:p>
        </w:tc>
        <w:tc>
          <w:tcPr>
            <w:tcW w:w="5115"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 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 15会计学1、2、3、4班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任课教师姓名/职称：段宁/讲师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286"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13662961553</w:t>
            </w:r>
          </w:p>
        </w:tc>
        <w:tc>
          <w:tcPr>
            <w:tcW w:w="5115"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 xml:space="preserve">1293931103@qq.com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答疑时间、地点与方式：可分为集体答疑与个别答疑的形式，集体答疑的时间、地点与上课基本相同，个别答疑主要通过电子邮件与电话联系或者办公室约谈等方式。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rFonts w:ascii="楷体_GB2312" w:hAnsi="楷体_GB2312" w:eastAsia="楷体_GB2312"/>
                <w:b/>
                <w:shd w:val="clear" w:color="auto" w:fill="FFFFFF"/>
                <w:lang w:eastAsia="zh-CN"/>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ascii="宋体" w:hAnsi="宋体" w:eastAsia="宋体"/>
                <w:b/>
                <w:bCs/>
                <w:sz w:val="21"/>
                <w:szCs w:val="21"/>
                <w:lang w:eastAsia="zh-CN"/>
              </w:rPr>
            </w:pPr>
            <w:r>
              <w:rPr>
                <w:rFonts w:hint="eastAsia" w:ascii="宋体" w:hAnsi="宋体" w:eastAsia="宋体"/>
                <w:b/>
                <w:bCs/>
                <w:sz w:val="21"/>
                <w:szCs w:val="21"/>
                <w:lang w:eastAsia="zh-CN"/>
              </w:rPr>
              <w:t>使用教材：《会计英语》 刘建华 主编  白鸥 黑岚 副主编 清华</w:t>
            </w:r>
            <w:r>
              <w:rPr>
                <w:rFonts w:ascii="宋体" w:hAnsi="宋体" w:eastAsia="宋体"/>
                <w:b/>
                <w:bCs/>
                <w:sz w:val="21"/>
                <w:szCs w:val="21"/>
                <w:lang w:eastAsia="zh-CN"/>
              </w:rPr>
              <w:t>大学出版社</w:t>
            </w:r>
            <w:r>
              <w:rPr>
                <w:rFonts w:hint="eastAsia" w:ascii="宋体" w:hAnsi="宋体" w:eastAsia="宋体"/>
                <w:b/>
                <w:bCs/>
                <w:sz w:val="21"/>
                <w:szCs w:val="21"/>
                <w:lang w:eastAsia="zh-CN"/>
              </w:rPr>
              <w:t xml:space="preserve">   </w:t>
            </w:r>
            <w:r>
              <w:rPr>
                <w:rFonts w:ascii="宋体" w:hAnsi="宋体" w:eastAsia="宋体"/>
                <w:b/>
                <w:bCs/>
                <w:sz w:val="21"/>
                <w:szCs w:val="21"/>
                <w:lang w:eastAsia="zh-CN"/>
              </w:rPr>
              <w:t>20</w:t>
            </w:r>
            <w:r>
              <w:rPr>
                <w:rFonts w:hint="eastAsia" w:ascii="宋体" w:hAnsi="宋体" w:eastAsia="宋体"/>
                <w:b/>
                <w:bCs/>
                <w:sz w:val="21"/>
                <w:szCs w:val="21"/>
                <w:lang w:eastAsia="zh-CN"/>
              </w:rPr>
              <w:t>09</w:t>
            </w:r>
            <w:r>
              <w:rPr>
                <w:rFonts w:ascii="宋体" w:hAnsi="宋体" w:eastAsia="宋体"/>
                <w:b/>
                <w:bCs/>
                <w:sz w:val="21"/>
                <w:szCs w:val="21"/>
                <w:lang w:eastAsia="zh-CN"/>
              </w:rPr>
              <w:t>年</w:t>
            </w:r>
            <w:r>
              <w:rPr>
                <w:rFonts w:hint="eastAsia" w:ascii="宋体" w:hAnsi="宋体" w:eastAsia="宋体"/>
                <w:b/>
                <w:bCs/>
                <w:sz w:val="21"/>
                <w:szCs w:val="21"/>
                <w:lang w:eastAsia="zh-CN"/>
              </w:rPr>
              <w:t>7</w:t>
            </w:r>
            <w:r>
              <w:rPr>
                <w:rFonts w:ascii="宋体" w:hAnsi="宋体" w:eastAsia="宋体"/>
                <w:b/>
                <w:bCs/>
                <w:sz w:val="21"/>
                <w:szCs w:val="21"/>
                <w:lang w:eastAsia="zh-CN"/>
              </w:rPr>
              <w:t>月第</w:t>
            </w:r>
            <w:r>
              <w:rPr>
                <w:rFonts w:hint="eastAsia" w:ascii="宋体" w:hAnsi="宋体" w:eastAsia="宋体"/>
                <w:b/>
                <w:bCs/>
                <w:sz w:val="21"/>
                <w:szCs w:val="21"/>
                <w:lang w:eastAsia="zh-CN"/>
              </w:rPr>
              <w:t>1</w:t>
            </w:r>
            <w:r>
              <w:rPr>
                <w:rFonts w:ascii="宋体" w:hAnsi="宋体" w:eastAsia="宋体"/>
                <w:b/>
                <w:bCs/>
                <w:sz w:val="21"/>
                <w:szCs w:val="21"/>
                <w:lang w:eastAsia="zh-CN"/>
              </w:rPr>
              <w:t>版</w:t>
            </w:r>
          </w:p>
          <w:p>
            <w:pPr>
              <w:rPr>
                <w:rFonts w:ascii="宋体" w:hAnsi="宋体" w:eastAsia="宋体"/>
                <w:b/>
                <w:bCs/>
                <w:sz w:val="21"/>
                <w:szCs w:val="21"/>
                <w:lang w:eastAsia="zh-CN"/>
              </w:rPr>
            </w:pPr>
            <w:r>
              <w:rPr>
                <w:rFonts w:hint="eastAsia" w:ascii="宋体" w:hAnsi="宋体" w:eastAsia="宋体"/>
                <w:b/>
                <w:bCs/>
                <w:sz w:val="21"/>
                <w:szCs w:val="21"/>
                <w:lang w:eastAsia="zh-CN"/>
              </w:rPr>
              <w:t>教学参考资料：1、《会计英语》 陈少华主编 厦门大学出版社 2017年7月 第二版</w:t>
            </w:r>
          </w:p>
          <w:p>
            <w:pPr>
              <w:rPr>
                <w:rFonts w:ascii="宋体" w:hAnsi="宋体" w:eastAsia="宋体"/>
                <w:b/>
                <w:bCs/>
                <w:sz w:val="21"/>
                <w:szCs w:val="21"/>
                <w:lang w:eastAsia="zh-CN"/>
              </w:rPr>
            </w:pPr>
            <w:r>
              <w:rPr>
                <w:rFonts w:hint="eastAsia" w:ascii="宋体" w:hAnsi="宋体" w:eastAsia="宋体"/>
                <w:b/>
                <w:bCs/>
                <w:sz w:val="21"/>
                <w:szCs w:val="21"/>
                <w:lang w:eastAsia="zh-CN"/>
              </w:rPr>
              <w:t xml:space="preserve">               2、《实用会计英语》 葛军 高等教育出版社 2014年8月 第三版</w:t>
            </w:r>
          </w:p>
          <w:p>
            <w:pPr>
              <w:ind w:firstLine="1581" w:firstLineChars="750"/>
              <w:rPr>
                <w:rFonts w:ascii="宋体" w:hAnsi="宋体" w:eastAsia="宋体"/>
                <w:b/>
                <w:bCs/>
                <w:sz w:val="21"/>
                <w:szCs w:val="21"/>
                <w:lang w:eastAsia="zh-CN"/>
              </w:rPr>
            </w:pPr>
            <w:r>
              <w:rPr>
                <w:rFonts w:hint="eastAsia" w:ascii="宋体" w:hAnsi="宋体" w:eastAsia="宋体"/>
                <w:b/>
                <w:bCs/>
                <w:sz w:val="21"/>
                <w:szCs w:val="21"/>
                <w:lang w:eastAsia="zh-CN"/>
              </w:rPr>
              <w:t xml:space="preserve">3、《会计英语》 叶建芳 孙红星 何瑞丰主编  </w:t>
            </w:r>
            <w:r>
              <w:rPr>
                <w:rFonts w:ascii="宋体" w:hAnsi="宋体" w:eastAsia="宋体"/>
                <w:b/>
                <w:bCs/>
                <w:sz w:val="21"/>
                <w:szCs w:val="21"/>
                <w:lang w:eastAsia="zh-CN"/>
              </w:rPr>
              <w:t>复旦大学出版社201</w:t>
            </w:r>
            <w:r>
              <w:rPr>
                <w:rFonts w:hint="eastAsia" w:ascii="宋体" w:hAnsi="宋体" w:eastAsia="宋体"/>
                <w:b/>
                <w:bCs/>
                <w:sz w:val="21"/>
                <w:szCs w:val="21"/>
                <w:lang w:eastAsia="zh-CN"/>
              </w:rPr>
              <w:t>6</w:t>
            </w:r>
            <w:r>
              <w:rPr>
                <w:rFonts w:ascii="宋体" w:hAnsi="宋体" w:eastAsia="宋体"/>
                <w:b/>
                <w:bCs/>
                <w:sz w:val="21"/>
                <w:szCs w:val="21"/>
                <w:lang w:eastAsia="zh-CN"/>
              </w:rPr>
              <w:t>年10月1日第</w:t>
            </w:r>
            <w:r>
              <w:rPr>
                <w:rFonts w:hint="eastAsia" w:ascii="宋体" w:hAnsi="宋体" w:eastAsia="宋体"/>
                <w:b/>
                <w:bCs/>
                <w:sz w:val="21"/>
                <w:szCs w:val="21"/>
                <w:lang w:eastAsia="zh-CN"/>
              </w:rPr>
              <w:t>4</w:t>
            </w:r>
            <w:r>
              <w:rPr>
                <w:rFonts w:ascii="宋体" w:hAnsi="宋体" w:eastAsia="宋体"/>
                <w:b/>
                <w:bCs/>
                <w:sz w:val="21"/>
                <w:szCs w:val="21"/>
                <w:lang w:eastAsia="zh-CN"/>
              </w:rPr>
              <w:t>版</w:t>
            </w:r>
          </w:p>
          <w:p>
            <w:pPr>
              <w:ind w:firstLine="1581" w:firstLineChars="750"/>
              <w:rPr>
                <w:rFonts w:ascii="宋体" w:hAnsi="宋体" w:eastAsia="宋体"/>
                <w:b/>
                <w:bCs/>
                <w:sz w:val="21"/>
                <w:szCs w:val="21"/>
                <w:lang w:eastAsia="zh-CN"/>
              </w:rPr>
            </w:pPr>
            <w:r>
              <w:rPr>
                <w:rFonts w:hint="eastAsia" w:ascii="宋体" w:hAnsi="宋体" w:eastAsia="宋体"/>
                <w:b/>
                <w:bCs/>
                <w:sz w:val="21"/>
                <w:szCs w:val="21"/>
                <w:lang w:eastAsia="zh-CN"/>
              </w:rPr>
              <w:t>等。</w:t>
            </w:r>
          </w:p>
          <w:p>
            <w:pPr>
              <w:tabs>
                <w:tab w:val="left" w:pos="1440"/>
              </w:tabs>
              <w:spacing w:after="0" w:line="0" w:lineRule="atLeast"/>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eastAsiaTheme="minorEastAsia"/>
                <w:lang w:eastAsia="zh-CN"/>
              </w:rPr>
            </w:pPr>
            <w:r>
              <w:rPr>
                <w:rFonts w:hint="eastAsia" w:ascii="宋体" w:hAnsi="宋体" w:eastAsia="宋体"/>
                <w:b/>
                <w:sz w:val="21"/>
                <w:szCs w:val="21"/>
                <w:lang w:eastAsia="zh-CN"/>
              </w:rPr>
              <w:t>课程简介：会计英语为会计专业的专业选修课，是会计专业的重要专业基础课和主干课程。是为贯彻国家教育方针，培养学生良好的职业素养，使学生具备相关的会计理论和会计工作的基础能力。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5756" w:type="dxa"/>
            <w:gridSpan w:val="6"/>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ind w:firstLine="422" w:firstLineChars="200"/>
              <w:rPr>
                <w:rFonts w:ascii="宋体" w:hAnsi="宋体" w:eastAsia="宋体"/>
                <w:b/>
                <w:sz w:val="21"/>
                <w:szCs w:val="21"/>
                <w:lang w:eastAsia="zh-CN"/>
              </w:rPr>
            </w:pPr>
            <w:r>
              <w:rPr>
                <w:rFonts w:hint="eastAsia" w:ascii="宋体" w:hAnsi="宋体" w:eastAsia="宋体"/>
                <w:b/>
                <w:sz w:val="21"/>
                <w:szCs w:val="21"/>
                <w:lang w:eastAsia="zh-CN"/>
              </w:rPr>
              <w:t>在当前全球一体化的趋势下，我国经济的国际交往和国际经营活动不断向深度和广度扩展，阅读财务报表并了解各国的会计情况显得愈加重要。在了解国外会计情况时，专业英语往往是一大障碍。该课程旨在提高会计专业学生对英文表述的会计专业理论和专业知识进行阅读理解的能力，受到在英文环境下对会计信息进行整理、分析和运用方法的基本训练，初步具备在跨国公司、外资企业的英文工作环境中胜任会计以及财务方面工作的能力。该课程对于培养具备国际化视野以及国际竞争力的现代会计学科高级专门人才具有长远的意义。</w:t>
            </w:r>
          </w:p>
          <w:p>
            <w:pPr>
              <w:ind w:firstLine="422" w:firstLineChars="200"/>
              <w:rPr>
                <w:rFonts w:ascii="宋体" w:hAnsi="宋体" w:eastAsia="宋体"/>
                <w:b/>
                <w:sz w:val="21"/>
                <w:szCs w:val="21"/>
                <w:lang w:eastAsia="zh-CN"/>
              </w:rPr>
            </w:pPr>
            <w:r>
              <w:rPr>
                <w:rFonts w:hint="eastAsia" w:ascii="宋体" w:hAnsi="宋体" w:eastAsia="宋体"/>
                <w:b/>
                <w:sz w:val="21"/>
                <w:szCs w:val="21"/>
                <w:lang w:eastAsia="zh-CN"/>
              </w:rPr>
              <w:t>1.知识与技能目标：</w:t>
            </w:r>
          </w:p>
          <w:p>
            <w:pPr>
              <w:pStyle w:val="12"/>
              <w:numPr>
                <w:ilvl w:val="0"/>
                <w:numId w:val="1"/>
              </w:numPr>
              <w:tabs>
                <w:tab w:val="left" w:pos="1440"/>
              </w:tabs>
              <w:ind w:firstLineChars="0"/>
              <w:rPr>
                <w:rFonts w:ascii="宋体" w:hAnsi="宋体" w:eastAsia="宋体"/>
                <w:sz w:val="21"/>
                <w:szCs w:val="21"/>
                <w:lang w:eastAsia="zh-CN"/>
              </w:rPr>
            </w:pPr>
            <w:r>
              <w:rPr>
                <w:rFonts w:hint="eastAsia" w:ascii="宋体" w:hAnsi="宋体" w:eastAsia="宋体"/>
                <w:sz w:val="21"/>
                <w:szCs w:val="21"/>
                <w:lang w:eastAsia="zh-CN"/>
              </w:rPr>
              <w:t>通过本课程的学习，使学生在英语状态下了解国外的会计情况；</w:t>
            </w:r>
          </w:p>
          <w:p>
            <w:pPr>
              <w:pStyle w:val="12"/>
              <w:numPr>
                <w:ilvl w:val="0"/>
                <w:numId w:val="1"/>
              </w:numPr>
              <w:tabs>
                <w:tab w:val="left" w:pos="1440"/>
              </w:tabs>
              <w:ind w:firstLineChars="0"/>
              <w:rPr>
                <w:rFonts w:ascii="宋体" w:hAnsi="宋体" w:eastAsia="宋体"/>
                <w:sz w:val="21"/>
                <w:szCs w:val="21"/>
                <w:lang w:eastAsia="zh-CN"/>
              </w:rPr>
            </w:pPr>
            <w:r>
              <w:rPr>
                <w:rFonts w:hint="eastAsia" w:ascii="宋体" w:hAnsi="宋体" w:eastAsia="宋体"/>
                <w:sz w:val="21"/>
                <w:szCs w:val="21"/>
                <w:lang w:eastAsia="zh-CN"/>
              </w:rPr>
              <w:t>熟知各类会计英文术语，理解英文表述的会计基本理论、方法和技能；</w:t>
            </w:r>
          </w:p>
          <w:p>
            <w:pPr>
              <w:pStyle w:val="12"/>
              <w:numPr>
                <w:ilvl w:val="0"/>
                <w:numId w:val="1"/>
              </w:numPr>
              <w:tabs>
                <w:tab w:val="left" w:pos="1440"/>
              </w:tabs>
              <w:ind w:firstLineChars="0"/>
              <w:rPr>
                <w:rFonts w:ascii="宋体" w:hAnsi="宋体" w:eastAsia="宋体"/>
                <w:sz w:val="21"/>
                <w:szCs w:val="21"/>
                <w:lang w:eastAsia="zh-CN"/>
              </w:rPr>
            </w:pPr>
            <w:r>
              <w:rPr>
                <w:rFonts w:hint="eastAsia" w:ascii="宋体" w:hAnsi="宋体" w:eastAsia="宋体"/>
                <w:sz w:val="21"/>
                <w:szCs w:val="21"/>
                <w:lang w:eastAsia="zh-CN"/>
              </w:rPr>
              <w:t>掌握重点词汇与短语的用法，能够使用英文对会计业务进行分录和简单的帐务处理；</w:t>
            </w:r>
          </w:p>
          <w:p>
            <w:pPr>
              <w:pStyle w:val="12"/>
              <w:numPr>
                <w:ilvl w:val="0"/>
                <w:numId w:val="1"/>
              </w:numPr>
              <w:tabs>
                <w:tab w:val="left" w:pos="1440"/>
              </w:tabs>
              <w:ind w:firstLineChars="0"/>
              <w:rPr>
                <w:rFonts w:ascii="宋体" w:hAnsi="宋体" w:eastAsia="宋体"/>
                <w:sz w:val="21"/>
                <w:szCs w:val="21"/>
                <w:lang w:eastAsia="zh-CN"/>
              </w:rPr>
            </w:pPr>
            <w:r>
              <w:rPr>
                <w:rFonts w:hint="eastAsia" w:ascii="宋体" w:hAnsi="宋体" w:eastAsia="宋体"/>
                <w:sz w:val="21"/>
                <w:szCs w:val="21"/>
                <w:lang w:eastAsia="zh-CN"/>
              </w:rPr>
              <w:t>全方位地提高在会计相关事务处理中运用英文的能力和水平。</w:t>
            </w:r>
          </w:p>
          <w:p>
            <w:pPr>
              <w:spacing w:line="360" w:lineRule="auto"/>
              <w:ind w:firstLine="413" w:firstLineChars="196"/>
              <w:rPr>
                <w:rFonts w:ascii="宋体" w:hAnsi="宋体" w:eastAsia="宋体"/>
                <w:sz w:val="21"/>
                <w:szCs w:val="21"/>
                <w:lang w:eastAsia="zh-CN"/>
              </w:rPr>
            </w:pPr>
            <w:r>
              <w:rPr>
                <w:rFonts w:hint="eastAsia" w:ascii="宋体" w:hAnsi="宋体" w:eastAsia="宋体"/>
                <w:b/>
                <w:sz w:val="21"/>
                <w:szCs w:val="21"/>
                <w:lang w:eastAsia="zh-CN"/>
              </w:rPr>
              <w:t>2.过程与方法目标：</w:t>
            </w:r>
            <w:r>
              <w:rPr>
                <w:rFonts w:hint="eastAsia" w:ascii="宋体" w:hAnsi="宋体" w:eastAsia="宋体"/>
                <w:sz w:val="21"/>
                <w:szCs w:val="21"/>
                <w:lang w:eastAsia="zh-CN"/>
              </w:rPr>
              <w:t>通过对会计知识点的讲解与分析，结合案例，使学生在学习过程中能够把会计理论运用到实践中，从而完成教学目标。</w:t>
            </w:r>
          </w:p>
          <w:p>
            <w:pPr>
              <w:spacing w:line="360" w:lineRule="auto"/>
              <w:ind w:firstLine="422" w:firstLineChars="200"/>
              <w:rPr>
                <w:rFonts w:ascii="宋体" w:hAnsi="宋体" w:eastAsia="宋体"/>
                <w:b/>
                <w:sz w:val="21"/>
                <w:szCs w:val="21"/>
                <w:lang w:eastAsia="zh-CN"/>
              </w:rPr>
            </w:pPr>
            <w:r>
              <w:rPr>
                <w:rFonts w:hint="eastAsia" w:ascii="宋体" w:hAnsi="宋体" w:eastAsia="宋体"/>
                <w:b/>
                <w:sz w:val="21"/>
                <w:szCs w:val="21"/>
                <w:lang w:eastAsia="zh-CN"/>
              </w:rPr>
              <w:t>3.情感、态度与价值观发展目标：</w:t>
            </w:r>
            <w:r>
              <w:rPr>
                <w:rFonts w:hint="eastAsia" w:ascii="宋体" w:hAnsi="宋体" w:eastAsia="宋体"/>
                <w:sz w:val="21"/>
                <w:szCs w:val="21"/>
                <w:lang w:eastAsia="zh-CN"/>
              </w:rPr>
              <w:t>通过对基本知识的学习过程，使学生树立优美崇高的情感，锲而不舍的人生态度，适应人类最广泛的价值观念；通过讲述会计理论的过程，培养学生严密的逻辑推理以及深刻敏锐的感悟，为从事未来的事业奠定坚实的科学人文素养和心理基础。</w:t>
            </w:r>
          </w:p>
        </w:tc>
        <w:tc>
          <w:tcPr>
            <w:tcW w:w="364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68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0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27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15"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686"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1</w:t>
            </w:r>
          </w:p>
        </w:tc>
        <w:tc>
          <w:tcPr>
            <w:tcW w:w="1688" w:type="dxa"/>
            <w:gridSpan w:val="2"/>
          </w:tcPr>
          <w:p>
            <w:pPr>
              <w:jc w:val="left"/>
              <w:rPr>
                <w:rFonts w:ascii="宋体" w:hAnsi="宋体" w:eastAsia="宋体"/>
                <w:sz w:val="21"/>
                <w:szCs w:val="21"/>
                <w:lang w:eastAsia="zh-CN"/>
              </w:rPr>
            </w:pPr>
            <w:r>
              <w:rPr>
                <w:rFonts w:ascii="宋体" w:hAnsi="宋体" w:eastAsia="宋体"/>
                <w:sz w:val="21"/>
                <w:szCs w:val="21"/>
                <w:lang w:eastAsia="zh-CN"/>
              </w:rPr>
              <w:t>An Introduction to Accounting</w:t>
            </w:r>
          </w:p>
        </w:tc>
        <w:tc>
          <w:tcPr>
            <w:tcW w:w="605" w:type="dxa"/>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Pr>
          <w:p>
            <w:pPr>
              <w:jc w:val="left"/>
              <w:rPr>
                <w:rFonts w:ascii="宋体" w:hAnsi="宋体" w:eastAsia="宋体"/>
                <w:sz w:val="21"/>
                <w:szCs w:val="21"/>
                <w:lang w:eastAsia="zh-CN"/>
              </w:rPr>
            </w:pPr>
            <w:r>
              <w:rPr>
                <w:rFonts w:hint="eastAsia" w:ascii="宋体" w:hAnsi="宋体" w:eastAsia="宋体"/>
                <w:sz w:val="21"/>
                <w:szCs w:val="21"/>
                <w:lang w:eastAsia="zh-CN"/>
              </w:rPr>
              <w:t xml:space="preserve">    教学内容：主要讲解</w:t>
            </w:r>
            <w:r>
              <w:rPr>
                <w:rFonts w:ascii="宋体" w:hAnsi="宋体" w:eastAsia="宋体"/>
                <w:sz w:val="21"/>
                <w:szCs w:val="21"/>
                <w:lang w:eastAsia="zh-CN"/>
              </w:rPr>
              <w:t>Over view;</w:t>
            </w:r>
            <w:r>
              <w:rPr>
                <w:rFonts w:hint="eastAsia" w:ascii="宋体" w:hAnsi="宋体" w:eastAsia="宋体"/>
                <w:sz w:val="21"/>
                <w:szCs w:val="21"/>
                <w:lang w:eastAsia="zh-CN"/>
              </w:rPr>
              <w:t>从总体介绍会计英语，使同学们尽快进入到用英语学习会计的角色中；用一个简单的例子讲解</w:t>
            </w:r>
            <w:r>
              <w:rPr>
                <w:rFonts w:ascii="宋体" w:hAnsi="宋体" w:eastAsia="宋体"/>
                <w:sz w:val="21"/>
                <w:szCs w:val="21"/>
                <w:lang w:eastAsia="zh-CN"/>
              </w:rPr>
              <w:t>Balance</w:t>
            </w:r>
            <w:r>
              <w:rPr>
                <w:rFonts w:hint="eastAsia" w:ascii="宋体" w:hAnsi="宋体" w:eastAsia="宋体"/>
                <w:sz w:val="21"/>
                <w:szCs w:val="21"/>
                <w:lang w:eastAsia="zh-CN"/>
              </w:rPr>
              <w:t xml:space="preserve"> Sheet、Income Statement、Cash Flow Statement.</w:t>
            </w:r>
          </w:p>
          <w:p>
            <w:pPr>
              <w:jc w:val="left"/>
              <w:rPr>
                <w:rFonts w:ascii="宋体" w:hAnsi="宋体" w:eastAsia="宋体"/>
                <w:sz w:val="21"/>
                <w:szCs w:val="21"/>
                <w:lang w:eastAsia="zh-CN"/>
              </w:rPr>
            </w:pPr>
            <w:r>
              <w:rPr>
                <w:rFonts w:hint="eastAsia" w:ascii="宋体" w:hAnsi="宋体" w:eastAsia="宋体"/>
                <w:sz w:val="21"/>
                <w:szCs w:val="21"/>
                <w:lang w:eastAsia="zh-CN"/>
              </w:rPr>
              <w:t xml:space="preserve">    教学重点：使同学们能够大致了解会计英语的教学内容及方法</w:t>
            </w:r>
          </w:p>
        </w:tc>
        <w:tc>
          <w:tcPr>
            <w:tcW w:w="515" w:type="dxa"/>
            <w:gridSpan w:val="2"/>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讲授</w:t>
            </w:r>
          </w:p>
        </w:tc>
        <w:tc>
          <w:tcPr>
            <w:tcW w:w="1686" w:type="dxa"/>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掌握教学难点：T</w:t>
            </w:r>
            <w:r>
              <w:rPr>
                <w:rFonts w:ascii="宋体" w:hAnsi="宋体" w:eastAsia="宋体"/>
                <w:sz w:val="21"/>
                <w:szCs w:val="21"/>
                <w:lang w:eastAsia="zh-CN"/>
              </w:rPr>
              <w:t>h</w:t>
            </w:r>
            <w:r>
              <w:rPr>
                <w:rFonts w:hint="eastAsia" w:ascii="宋体" w:hAnsi="宋体" w:eastAsia="宋体"/>
                <w:sz w:val="21"/>
                <w:szCs w:val="21"/>
                <w:lang w:eastAsia="zh-CN"/>
              </w:rPr>
              <w:t>e Three Financial Statements</w:t>
            </w:r>
          </w:p>
          <w:p>
            <w:pPr>
              <w:tabs>
                <w:tab w:val="left" w:pos="720"/>
              </w:tabs>
              <w:ind w:firstLine="420" w:firstLineChars="200"/>
              <w:jc w:val="lef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1688" w:type="dxa"/>
            <w:gridSpan w:val="2"/>
          </w:tcPr>
          <w:p>
            <w:pPr>
              <w:jc w:val="left"/>
              <w:rPr>
                <w:rFonts w:ascii="宋体" w:hAnsi="宋体" w:eastAsia="宋体"/>
                <w:sz w:val="21"/>
                <w:szCs w:val="21"/>
                <w:lang w:eastAsia="zh-CN"/>
              </w:rPr>
            </w:pPr>
            <w:r>
              <w:rPr>
                <w:rFonts w:ascii="宋体" w:hAnsi="宋体" w:eastAsia="宋体"/>
                <w:sz w:val="21"/>
                <w:szCs w:val="21"/>
                <w:lang w:eastAsia="zh-CN"/>
              </w:rPr>
              <w:t>Basic Knowledge of Accounting</w:t>
            </w:r>
          </w:p>
        </w:tc>
        <w:tc>
          <w:tcPr>
            <w:tcW w:w="605" w:type="dxa"/>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Pr>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教学内容：主要讲解The Definition of Accounting; Accounting Elements &amp; Accounting Equation; T account &amp; Double-entry system;</w:t>
            </w:r>
          </w:p>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教学重点：T Accounts and the Rule of Debit &amp; Credit</w:t>
            </w:r>
          </w:p>
          <w:p>
            <w:pPr>
              <w:jc w:val="left"/>
              <w:rPr>
                <w:rFonts w:ascii="宋体" w:hAnsi="宋体" w:eastAsia="宋体"/>
                <w:sz w:val="21"/>
                <w:szCs w:val="21"/>
                <w:lang w:eastAsia="zh-CN"/>
              </w:rPr>
            </w:pPr>
          </w:p>
        </w:tc>
        <w:tc>
          <w:tcPr>
            <w:tcW w:w="515" w:type="dxa"/>
            <w:gridSpan w:val="2"/>
          </w:tcPr>
          <w:p>
            <w:r>
              <w:rPr>
                <w:rFonts w:hint="eastAsia" w:ascii="宋体" w:hAnsi="宋体" w:eastAsia="宋体"/>
                <w:sz w:val="21"/>
                <w:szCs w:val="21"/>
                <w:lang w:eastAsia="zh-CN"/>
              </w:rPr>
              <w:t>讲授</w:t>
            </w:r>
          </w:p>
        </w:tc>
        <w:tc>
          <w:tcPr>
            <w:tcW w:w="1686" w:type="dxa"/>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掌握教学难点：T account &amp; Double-entry system</w:t>
            </w:r>
            <w:r>
              <w:rPr>
                <w:rFonts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3</w:t>
            </w:r>
          </w:p>
        </w:tc>
        <w:tc>
          <w:tcPr>
            <w:tcW w:w="1688" w:type="dxa"/>
            <w:gridSpan w:val="2"/>
          </w:tcPr>
          <w:p>
            <w:pPr>
              <w:jc w:val="left"/>
              <w:rPr>
                <w:rFonts w:ascii="宋体" w:hAnsi="宋体" w:eastAsia="宋体"/>
                <w:sz w:val="21"/>
                <w:szCs w:val="21"/>
                <w:lang w:eastAsia="zh-CN"/>
              </w:rPr>
            </w:pPr>
            <w:r>
              <w:rPr>
                <w:rFonts w:ascii="宋体" w:hAnsi="宋体" w:eastAsia="宋体"/>
                <w:sz w:val="21"/>
                <w:szCs w:val="21"/>
                <w:lang w:eastAsia="zh-CN"/>
              </w:rPr>
              <w:t>Basic Knowledge of Accounting</w:t>
            </w:r>
          </w:p>
        </w:tc>
        <w:tc>
          <w:tcPr>
            <w:tcW w:w="605" w:type="dxa"/>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Pr>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教学内容：主要讲解The Ledger and Chart of Accounts; Journalizing and Posting Entries.</w:t>
            </w:r>
          </w:p>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教学重点：The Ledger and Chart of Accounts</w:t>
            </w:r>
          </w:p>
        </w:tc>
        <w:tc>
          <w:tcPr>
            <w:tcW w:w="515" w:type="dxa"/>
            <w:gridSpan w:val="2"/>
          </w:tcPr>
          <w:p>
            <w:r>
              <w:rPr>
                <w:rFonts w:hint="eastAsia" w:ascii="宋体" w:hAnsi="宋体" w:eastAsia="宋体"/>
                <w:sz w:val="21"/>
                <w:szCs w:val="21"/>
                <w:lang w:eastAsia="zh-CN"/>
              </w:rPr>
              <w:t>讲授</w:t>
            </w:r>
          </w:p>
        </w:tc>
        <w:tc>
          <w:tcPr>
            <w:tcW w:w="1686" w:type="dxa"/>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掌握教学难点：The Ledger and Chart of Accounts</w:t>
            </w:r>
          </w:p>
          <w:p>
            <w:pPr>
              <w:tabs>
                <w:tab w:val="left" w:pos="720"/>
                <w:tab w:val="left" w:pos="1440"/>
              </w:tabs>
              <w:ind w:firstLine="420" w:firstLineChars="200"/>
              <w:jc w:val="lef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4</w:t>
            </w:r>
          </w:p>
        </w:tc>
        <w:tc>
          <w:tcPr>
            <w:tcW w:w="1688" w:type="dxa"/>
            <w:gridSpan w:val="2"/>
          </w:tcPr>
          <w:p>
            <w:pPr>
              <w:jc w:val="left"/>
              <w:rPr>
                <w:rFonts w:ascii="宋体" w:hAnsi="宋体" w:eastAsia="宋体"/>
                <w:sz w:val="21"/>
                <w:szCs w:val="21"/>
                <w:lang w:eastAsia="zh-CN"/>
              </w:rPr>
            </w:pPr>
            <w:r>
              <w:rPr>
                <w:rFonts w:ascii="宋体" w:hAnsi="宋体" w:eastAsia="宋体"/>
                <w:sz w:val="21"/>
                <w:szCs w:val="21"/>
                <w:lang w:eastAsia="zh-CN"/>
              </w:rPr>
              <w:t>Current Assets</w:t>
            </w:r>
          </w:p>
        </w:tc>
        <w:tc>
          <w:tcPr>
            <w:tcW w:w="605" w:type="dxa"/>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Pr>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教学内容：主要讲解Cash Management; Cash and Cash Equivalents; Accounts Receivable;</w:t>
            </w:r>
          </w:p>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教学重点：Cash and Cash Equivalents</w:t>
            </w:r>
          </w:p>
          <w:p>
            <w:pPr>
              <w:tabs>
                <w:tab w:val="left" w:pos="1440"/>
              </w:tabs>
              <w:ind w:firstLine="420" w:firstLineChars="200"/>
              <w:jc w:val="left"/>
              <w:rPr>
                <w:rFonts w:ascii="宋体" w:hAnsi="宋体" w:eastAsia="宋体"/>
                <w:sz w:val="21"/>
                <w:szCs w:val="21"/>
                <w:lang w:eastAsia="zh-CN"/>
              </w:rPr>
            </w:pPr>
          </w:p>
        </w:tc>
        <w:tc>
          <w:tcPr>
            <w:tcW w:w="515" w:type="dxa"/>
            <w:gridSpan w:val="2"/>
          </w:tcPr>
          <w:p>
            <w:r>
              <w:rPr>
                <w:rFonts w:hint="eastAsia" w:ascii="宋体" w:hAnsi="宋体" w:eastAsia="宋体"/>
                <w:sz w:val="21"/>
                <w:szCs w:val="21"/>
                <w:lang w:eastAsia="zh-CN"/>
              </w:rPr>
              <w:t>讲授</w:t>
            </w:r>
          </w:p>
        </w:tc>
        <w:tc>
          <w:tcPr>
            <w:tcW w:w="1686" w:type="dxa"/>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掌握教学难点：Accounts Receivable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bottom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5</w:t>
            </w:r>
          </w:p>
        </w:tc>
        <w:tc>
          <w:tcPr>
            <w:tcW w:w="1688" w:type="dxa"/>
            <w:gridSpan w:val="2"/>
            <w:tcBorders>
              <w:bottom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Current Assets</w:t>
            </w:r>
          </w:p>
        </w:tc>
        <w:tc>
          <w:tcPr>
            <w:tcW w:w="605" w:type="dxa"/>
            <w:tcBorders>
              <w:bottom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bottom w:val="single" w:color="auto" w:sz="4" w:space="0"/>
            </w:tcBorders>
          </w:tcPr>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教学内容：主要讲解Inventory; Short-term Investment</w:t>
            </w:r>
          </w:p>
          <w:p>
            <w:pPr>
              <w:jc w:val="left"/>
              <w:rPr>
                <w:rFonts w:ascii="宋体" w:hAnsi="宋体" w:eastAsia="宋体"/>
                <w:sz w:val="21"/>
                <w:szCs w:val="21"/>
                <w:lang w:eastAsia="zh-CN"/>
              </w:rPr>
            </w:pPr>
            <w:r>
              <w:rPr>
                <w:rFonts w:hint="eastAsia" w:ascii="宋体" w:hAnsi="宋体" w:eastAsia="宋体"/>
                <w:sz w:val="21"/>
                <w:szCs w:val="21"/>
                <w:lang w:eastAsia="zh-CN"/>
              </w:rPr>
              <w:t>教学重点：Inventory</w:t>
            </w:r>
          </w:p>
        </w:tc>
        <w:tc>
          <w:tcPr>
            <w:tcW w:w="515" w:type="dxa"/>
            <w:gridSpan w:val="2"/>
            <w:tcBorders>
              <w:bottom w:val="single" w:color="auto" w:sz="4" w:space="0"/>
            </w:tcBorders>
          </w:tcPr>
          <w:p>
            <w:r>
              <w:rPr>
                <w:rFonts w:hint="eastAsia" w:ascii="宋体" w:hAnsi="宋体" w:eastAsia="宋体"/>
                <w:sz w:val="21"/>
                <w:szCs w:val="21"/>
                <w:lang w:eastAsia="zh-CN"/>
              </w:rPr>
              <w:t>讲授</w:t>
            </w:r>
          </w:p>
        </w:tc>
        <w:tc>
          <w:tcPr>
            <w:tcW w:w="1686" w:type="dxa"/>
            <w:tcBorders>
              <w:bottom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掌握教学难点：Inventory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bottom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6</w:t>
            </w:r>
          </w:p>
        </w:tc>
        <w:tc>
          <w:tcPr>
            <w:tcW w:w="1688" w:type="dxa"/>
            <w:gridSpan w:val="2"/>
            <w:tcBorders>
              <w:bottom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Long-term Assets</w:t>
            </w:r>
          </w:p>
        </w:tc>
        <w:tc>
          <w:tcPr>
            <w:tcW w:w="605" w:type="dxa"/>
            <w:tcBorders>
              <w:bottom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bottom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教学内容：主要讲解Fixed Assets; Depreciation of Fixed Assets; Intangible Assets;</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 xml:space="preserve">教学重点：Depreciation of Fixed Assets, </w:t>
            </w:r>
          </w:p>
        </w:tc>
        <w:tc>
          <w:tcPr>
            <w:tcW w:w="515" w:type="dxa"/>
            <w:gridSpan w:val="2"/>
            <w:tcBorders>
              <w:bottom w:val="single" w:color="auto" w:sz="4" w:space="0"/>
            </w:tcBorders>
          </w:tcPr>
          <w:p>
            <w:r>
              <w:rPr>
                <w:rFonts w:hint="eastAsia" w:ascii="宋体" w:hAnsi="宋体" w:eastAsia="宋体"/>
                <w:sz w:val="21"/>
                <w:szCs w:val="21"/>
                <w:lang w:eastAsia="zh-CN"/>
              </w:rPr>
              <w:t>讲授</w:t>
            </w:r>
          </w:p>
        </w:tc>
        <w:tc>
          <w:tcPr>
            <w:tcW w:w="1686" w:type="dxa"/>
            <w:tcBorders>
              <w:bottom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 xml:space="preserve">掌握教学难点：Depreciation of Fixed Assets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7</w:t>
            </w:r>
          </w:p>
        </w:tc>
        <w:tc>
          <w:tcPr>
            <w:tcW w:w="1688"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Liabilities</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教学内容：主要讲解Current Liabilities; Long-term Liabilities</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 xml:space="preserve">教学重点：Liabilities各种类型的识别，the </w:t>
            </w:r>
            <w:r>
              <w:rPr>
                <w:rFonts w:ascii="宋体" w:hAnsi="宋体" w:eastAsia="宋体"/>
                <w:sz w:val="21"/>
                <w:szCs w:val="21"/>
                <w:lang w:eastAsia="zh-CN"/>
              </w:rPr>
              <w:t>differences</w:t>
            </w:r>
            <w:r>
              <w:rPr>
                <w:rFonts w:hint="eastAsia" w:ascii="宋体" w:hAnsi="宋体" w:eastAsia="宋体"/>
                <w:sz w:val="21"/>
                <w:szCs w:val="21"/>
                <w:lang w:eastAsia="zh-CN"/>
              </w:rPr>
              <w:t xml:space="preserve"> between Current Liabilities &amp; Long-term Liabilities</w:t>
            </w:r>
          </w:p>
          <w:p>
            <w:pPr>
              <w:jc w:val="left"/>
              <w:rPr>
                <w:rFonts w:ascii="宋体" w:hAnsi="宋体" w:eastAsia="宋体"/>
                <w:sz w:val="21"/>
                <w:szCs w:val="21"/>
                <w:lang w:eastAsia="zh-CN"/>
              </w:rPr>
            </w:pPr>
          </w:p>
        </w:tc>
        <w:tc>
          <w:tcPr>
            <w:tcW w:w="515" w:type="dxa"/>
            <w:gridSpan w:val="2"/>
            <w:tcBorders>
              <w:top w:val="single" w:color="auto" w:sz="4" w:space="0"/>
              <w:left w:val="single" w:color="auto" w:sz="4" w:space="0"/>
              <w:bottom w:val="single" w:color="auto" w:sz="4" w:space="0"/>
              <w:right w:val="single" w:color="auto" w:sz="4" w:space="0"/>
            </w:tcBorders>
          </w:tcPr>
          <w:p>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掌握教学难点：the definition of liabilities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8</w:t>
            </w:r>
          </w:p>
        </w:tc>
        <w:tc>
          <w:tcPr>
            <w:tcW w:w="1688" w:type="dxa"/>
            <w:gridSpan w:val="2"/>
            <w:tcBorders>
              <w:top w:val="single" w:color="auto" w:sz="4" w:space="0"/>
              <w:left w:val="single" w:color="auto" w:sz="4" w:space="0"/>
              <w:bottom w:val="single" w:color="auto" w:sz="4" w:space="0"/>
              <w:right w:val="single" w:color="auto" w:sz="4" w:space="0"/>
            </w:tcBorders>
          </w:tcPr>
          <w:p>
            <w:pPr>
              <w:ind w:left="-125" w:leftChars="-52"/>
              <w:jc w:val="left"/>
              <w:rPr>
                <w:rFonts w:ascii="宋体" w:hAnsi="宋体" w:eastAsia="宋体"/>
                <w:sz w:val="21"/>
                <w:szCs w:val="21"/>
                <w:lang w:eastAsia="zh-CN"/>
              </w:rPr>
            </w:pPr>
            <w:r>
              <w:rPr>
                <w:rFonts w:ascii="宋体" w:hAnsi="宋体" w:eastAsia="宋体"/>
                <w:sz w:val="21"/>
                <w:szCs w:val="21"/>
                <w:lang w:eastAsia="zh-CN"/>
              </w:rPr>
              <w:t>Owner’s Equity</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 xml:space="preserve">教学内容：主要讲解Ownership of Business Entities; Sole Proprietorship and Partnership Accounting;    </w:t>
            </w:r>
          </w:p>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教学重点：Ownership of Business Entities</w:t>
            </w:r>
          </w:p>
        </w:tc>
        <w:tc>
          <w:tcPr>
            <w:tcW w:w="515" w:type="dxa"/>
            <w:gridSpan w:val="2"/>
            <w:tcBorders>
              <w:top w:val="single" w:color="auto" w:sz="4" w:space="0"/>
              <w:left w:val="single" w:color="auto" w:sz="4" w:space="0"/>
              <w:bottom w:val="single" w:color="auto" w:sz="4" w:space="0"/>
              <w:right w:val="single" w:color="auto" w:sz="4" w:space="0"/>
            </w:tcBorders>
          </w:tcPr>
          <w:p>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掌握教学难点：Sole Proprietorship and Partnership Accounting;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9</w:t>
            </w:r>
          </w:p>
        </w:tc>
        <w:tc>
          <w:tcPr>
            <w:tcW w:w="1688" w:type="dxa"/>
            <w:gridSpan w:val="2"/>
            <w:tcBorders>
              <w:top w:val="single" w:color="auto" w:sz="4" w:space="0"/>
              <w:left w:val="single" w:color="auto" w:sz="4" w:space="0"/>
              <w:bottom w:val="single" w:color="auto" w:sz="4" w:space="0"/>
              <w:right w:val="single" w:color="auto" w:sz="4" w:space="0"/>
            </w:tcBorders>
          </w:tcPr>
          <w:p>
            <w:pPr>
              <w:ind w:left="-125" w:leftChars="-52"/>
              <w:jc w:val="left"/>
              <w:rPr>
                <w:rFonts w:ascii="宋体" w:hAnsi="宋体" w:eastAsia="宋体"/>
                <w:sz w:val="21"/>
                <w:szCs w:val="21"/>
                <w:lang w:eastAsia="zh-CN"/>
              </w:rPr>
            </w:pPr>
            <w:r>
              <w:rPr>
                <w:rFonts w:ascii="宋体" w:hAnsi="宋体" w:eastAsia="宋体"/>
                <w:sz w:val="21"/>
                <w:szCs w:val="21"/>
                <w:lang w:eastAsia="zh-CN"/>
              </w:rPr>
              <w:t>Owner’s Equity</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教学内容：主要讲解Rights and Privilege of Shareholders; Capital vs. Retained Earnings</w:t>
            </w:r>
          </w:p>
          <w:p>
            <w:pPr>
              <w:jc w:val="left"/>
              <w:rPr>
                <w:rFonts w:ascii="宋体" w:hAnsi="宋体" w:eastAsia="宋体"/>
                <w:sz w:val="21"/>
                <w:szCs w:val="21"/>
                <w:lang w:eastAsia="zh-CN"/>
              </w:rPr>
            </w:pPr>
            <w:r>
              <w:rPr>
                <w:rFonts w:hint="eastAsia" w:ascii="宋体" w:hAnsi="宋体" w:eastAsia="宋体"/>
                <w:sz w:val="21"/>
                <w:szCs w:val="21"/>
                <w:lang w:eastAsia="zh-CN"/>
              </w:rPr>
              <w:t xml:space="preserve">    教学重点：Capital vs. Retained Earnings</w:t>
            </w:r>
          </w:p>
        </w:tc>
        <w:tc>
          <w:tcPr>
            <w:tcW w:w="515" w:type="dxa"/>
            <w:gridSpan w:val="2"/>
            <w:tcBorders>
              <w:top w:val="single" w:color="auto" w:sz="4" w:space="0"/>
              <w:left w:val="single" w:color="auto" w:sz="4" w:space="0"/>
              <w:bottom w:val="single" w:color="auto" w:sz="4" w:space="0"/>
              <w:right w:val="single" w:color="auto" w:sz="4" w:space="0"/>
            </w:tcBorders>
          </w:tcPr>
          <w:p>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掌握教学难点：Capital vs. Retained Earnings</w:t>
            </w:r>
            <w:r>
              <w:rPr>
                <w:rFonts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10</w:t>
            </w:r>
          </w:p>
        </w:tc>
        <w:tc>
          <w:tcPr>
            <w:tcW w:w="1688"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Owner’s Equity</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教学内容：主要讲解Issuance of Shares; Retained Earnings;</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w:t>
            </w:r>
            <w:r>
              <w:rPr>
                <w:rFonts w:ascii="宋体" w:hAnsi="宋体" w:eastAsia="宋体"/>
                <w:sz w:val="21"/>
                <w:szCs w:val="21"/>
                <w:lang w:eastAsia="zh-CN"/>
              </w:rPr>
              <w:t xml:space="preserve"> </w:t>
            </w:r>
            <w:r>
              <w:rPr>
                <w:rFonts w:hint="eastAsia" w:ascii="宋体" w:hAnsi="宋体" w:eastAsia="宋体"/>
                <w:sz w:val="21"/>
                <w:szCs w:val="21"/>
                <w:lang w:eastAsia="zh-CN"/>
              </w:rPr>
              <w:t>Retained Earnings;</w:t>
            </w:r>
          </w:p>
        </w:tc>
        <w:tc>
          <w:tcPr>
            <w:tcW w:w="515" w:type="dxa"/>
            <w:gridSpan w:val="2"/>
            <w:tcBorders>
              <w:top w:val="single" w:color="auto" w:sz="4" w:space="0"/>
              <w:left w:val="single" w:color="auto" w:sz="4" w:space="0"/>
              <w:bottom w:val="single" w:color="auto" w:sz="4" w:space="0"/>
              <w:right w:val="single" w:color="auto" w:sz="4" w:space="0"/>
            </w:tcBorders>
          </w:tcPr>
          <w:p>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 xml:space="preserve">掌握教学难点：Retained Earnings </w:t>
            </w:r>
          </w:p>
          <w:p>
            <w:pPr>
              <w:tabs>
                <w:tab w:val="left" w:pos="720"/>
                <w:tab w:val="left" w:pos="1440"/>
              </w:tabs>
              <w:ind w:firstLine="420" w:firstLineChars="200"/>
              <w:jc w:val="lef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11</w:t>
            </w:r>
          </w:p>
        </w:tc>
        <w:tc>
          <w:tcPr>
            <w:tcW w:w="1688"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Revenue &amp; Expense</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教学内容：主要讲解Revenue; Expenses</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教学重点：Revenue; Expenses</w:t>
            </w:r>
          </w:p>
          <w:p>
            <w:pPr>
              <w:jc w:val="left"/>
              <w:rPr>
                <w:rFonts w:ascii="宋体" w:hAnsi="宋体" w:eastAsia="宋体"/>
                <w:sz w:val="21"/>
                <w:szCs w:val="21"/>
                <w:lang w:eastAsia="zh-CN"/>
              </w:rPr>
            </w:pPr>
          </w:p>
        </w:tc>
        <w:tc>
          <w:tcPr>
            <w:tcW w:w="51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掌握教学难点：Expenses</w:t>
            </w:r>
            <w:r>
              <w:rPr>
                <w:rFonts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12</w:t>
            </w:r>
          </w:p>
        </w:tc>
        <w:tc>
          <w:tcPr>
            <w:tcW w:w="1688"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Financial Statements</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w:t>
            </w:r>
            <w:r>
              <w:rPr>
                <w:rFonts w:ascii="宋体" w:hAnsi="宋体" w:eastAsia="宋体"/>
                <w:sz w:val="21"/>
                <w:szCs w:val="21"/>
                <w:lang w:eastAsia="zh-CN"/>
              </w:rPr>
              <w:t>Balance</w:t>
            </w:r>
            <w:r>
              <w:rPr>
                <w:rFonts w:hint="eastAsia" w:ascii="宋体" w:hAnsi="宋体" w:eastAsia="宋体"/>
                <w:sz w:val="21"/>
                <w:szCs w:val="21"/>
                <w:lang w:eastAsia="zh-CN"/>
              </w:rPr>
              <w:t xml:space="preserve"> Sheet</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w:t>
            </w:r>
            <w:r>
              <w:rPr>
                <w:rFonts w:ascii="宋体" w:hAnsi="宋体" w:eastAsia="宋体"/>
                <w:sz w:val="21"/>
                <w:szCs w:val="21"/>
                <w:lang w:eastAsia="zh-CN"/>
              </w:rPr>
              <w:t>Balance</w:t>
            </w:r>
            <w:r>
              <w:rPr>
                <w:rFonts w:hint="eastAsia" w:ascii="宋体" w:hAnsi="宋体" w:eastAsia="宋体"/>
                <w:sz w:val="21"/>
                <w:szCs w:val="21"/>
                <w:lang w:eastAsia="zh-CN"/>
              </w:rPr>
              <w:t xml:space="preserve"> Sheet</w:t>
            </w:r>
          </w:p>
        </w:tc>
        <w:tc>
          <w:tcPr>
            <w:tcW w:w="515" w:type="dxa"/>
            <w:gridSpan w:val="2"/>
            <w:tcBorders>
              <w:top w:val="single" w:color="auto" w:sz="4" w:space="0"/>
              <w:left w:val="single" w:color="auto" w:sz="4" w:space="0"/>
              <w:bottom w:val="single" w:color="auto" w:sz="4" w:space="0"/>
              <w:right w:val="single" w:color="auto" w:sz="4" w:space="0"/>
            </w:tcBorders>
          </w:tcPr>
          <w:p>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w:t>
            </w:r>
            <w:r>
              <w:rPr>
                <w:rFonts w:ascii="宋体" w:hAnsi="宋体" w:eastAsia="宋体"/>
                <w:sz w:val="21"/>
                <w:szCs w:val="21"/>
                <w:lang w:eastAsia="zh-CN"/>
              </w:rPr>
              <w:t>Balance</w:t>
            </w:r>
            <w:r>
              <w:rPr>
                <w:rFonts w:hint="eastAsia" w:ascii="宋体" w:hAnsi="宋体" w:eastAsia="宋体"/>
                <w:sz w:val="21"/>
                <w:szCs w:val="21"/>
                <w:lang w:eastAsia="zh-CN"/>
              </w:rPr>
              <w:t xml:space="preserve"> Sheet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13</w:t>
            </w:r>
          </w:p>
        </w:tc>
        <w:tc>
          <w:tcPr>
            <w:tcW w:w="1688"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Financial Statements</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教学内容：主要讲解Income Statement</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 Income Statement、</w:t>
            </w:r>
          </w:p>
        </w:tc>
        <w:tc>
          <w:tcPr>
            <w:tcW w:w="515" w:type="dxa"/>
            <w:gridSpan w:val="2"/>
            <w:tcBorders>
              <w:top w:val="single" w:color="auto" w:sz="4" w:space="0"/>
              <w:left w:val="single" w:color="auto" w:sz="4" w:space="0"/>
              <w:bottom w:val="single" w:color="auto" w:sz="4" w:space="0"/>
              <w:right w:val="single" w:color="auto" w:sz="4" w:space="0"/>
            </w:tcBorders>
          </w:tcPr>
          <w:p>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 Income Statement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14</w:t>
            </w:r>
          </w:p>
        </w:tc>
        <w:tc>
          <w:tcPr>
            <w:tcW w:w="1688"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Financial Statements</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教学内容：主要讲解Cash Flow Statement, the differences and the relationships for the three statements</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 Cash Flow Statement</w:t>
            </w:r>
          </w:p>
        </w:tc>
        <w:tc>
          <w:tcPr>
            <w:tcW w:w="515" w:type="dxa"/>
            <w:gridSpan w:val="2"/>
            <w:tcBorders>
              <w:top w:val="single" w:color="auto" w:sz="4" w:space="0"/>
              <w:left w:val="single" w:color="auto" w:sz="4" w:space="0"/>
              <w:bottom w:val="single" w:color="auto" w:sz="4" w:space="0"/>
              <w:right w:val="single" w:color="auto" w:sz="4" w:space="0"/>
            </w:tcBorders>
          </w:tcPr>
          <w:p>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掌握教学难点：T</w:t>
            </w:r>
            <w:r>
              <w:rPr>
                <w:rFonts w:ascii="宋体" w:hAnsi="宋体" w:eastAsia="宋体"/>
                <w:sz w:val="21"/>
                <w:szCs w:val="21"/>
                <w:lang w:eastAsia="zh-CN"/>
              </w:rPr>
              <w:t>h</w:t>
            </w:r>
            <w:r>
              <w:rPr>
                <w:rFonts w:hint="eastAsia" w:ascii="宋体" w:hAnsi="宋体" w:eastAsia="宋体"/>
                <w:sz w:val="21"/>
                <w:szCs w:val="21"/>
                <w:lang w:eastAsia="zh-CN"/>
              </w:rPr>
              <w:t>e Three Financial Statements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15</w:t>
            </w:r>
          </w:p>
        </w:tc>
        <w:tc>
          <w:tcPr>
            <w:tcW w:w="1688"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eastAsia="宋体"/>
                <w:sz w:val="21"/>
                <w:szCs w:val="21"/>
                <w:lang w:eastAsia="zh-CN"/>
              </w:rPr>
            </w:pPr>
            <w:r>
              <w:rPr>
                <w:rFonts w:ascii="宋体" w:hAnsi="宋体" w:eastAsia="宋体"/>
                <w:sz w:val="21"/>
                <w:szCs w:val="21"/>
                <w:lang w:eastAsia="zh-CN"/>
              </w:rPr>
              <w:t xml:space="preserve">Management Accounting </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教学内容：主要讲解</w:t>
            </w:r>
            <w:r>
              <w:rPr>
                <w:rFonts w:ascii="宋体" w:hAnsi="宋体" w:eastAsia="宋体"/>
                <w:sz w:val="21"/>
                <w:szCs w:val="21"/>
                <w:lang w:eastAsia="zh-CN"/>
              </w:rPr>
              <w:t>Management Accounting</w:t>
            </w:r>
            <w:r>
              <w:rPr>
                <w:rFonts w:hint="eastAsia" w:ascii="宋体" w:hAnsi="宋体" w:eastAsia="宋体"/>
                <w:sz w:val="21"/>
                <w:szCs w:val="21"/>
                <w:lang w:eastAsia="zh-CN"/>
              </w:rPr>
              <w:t>，</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w:t>
            </w:r>
            <w:r>
              <w:rPr>
                <w:rFonts w:ascii="宋体" w:hAnsi="宋体" w:eastAsia="宋体"/>
                <w:sz w:val="21"/>
                <w:szCs w:val="21"/>
                <w:lang w:eastAsia="zh-CN"/>
              </w:rPr>
              <w:t>Management Accounting</w:t>
            </w:r>
          </w:p>
        </w:tc>
        <w:tc>
          <w:tcPr>
            <w:tcW w:w="515" w:type="dxa"/>
            <w:gridSpan w:val="2"/>
            <w:tcBorders>
              <w:top w:val="single" w:color="auto" w:sz="4" w:space="0"/>
              <w:left w:val="single" w:color="auto" w:sz="4" w:space="0"/>
              <w:bottom w:val="single" w:color="auto" w:sz="4" w:space="0"/>
              <w:right w:val="single" w:color="auto" w:sz="4" w:space="0"/>
            </w:tcBorders>
          </w:tcPr>
          <w:p>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w:t>
            </w:r>
            <w:r>
              <w:rPr>
                <w:rFonts w:ascii="宋体" w:hAnsi="宋体" w:eastAsia="宋体"/>
                <w:sz w:val="21"/>
                <w:szCs w:val="21"/>
                <w:lang w:eastAsia="zh-CN"/>
              </w:rPr>
              <w:t>Management Accounting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16</w:t>
            </w:r>
          </w:p>
        </w:tc>
        <w:tc>
          <w:tcPr>
            <w:tcW w:w="1688" w:type="dxa"/>
            <w:gridSpan w:val="2"/>
            <w:tcBorders>
              <w:top w:val="single" w:color="auto" w:sz="4" w:space="0"/>
              <w:left w:val="single" w:color="auto" w:sz="4" w:space="0"/>
              <w:bottom w:val="single" w:color="auto" w:sz="4" w:space="0"/>
              <w:right w:val="single" w:color="auto" w:sz="4" w:space="0"/>
            </w:tcBorders>
          </w:tcPr>
          <w:p>
            <w:pPr>
              <w:jc w:val="left"/>
              <w:rPr>
                <w:rFonts w:ascii="宋体" w:hAnsi="宋体" w:eastAsia="宋体"/>
                <w:sz w:val="21"/>
                <w:szCs w:val="21"/>
                <w:lang w:eastAsia="zh-CN"/>
              </w:rPr>
            </w:pPr>
            <w:r>
              <w:rPr>
                <w:rFonts w:hint="eastAsia" w:ascii="宋体" w:hAnsi="宋体" w:eastAsia="宋体"/>
                <w:sz w:val="21"/>
                <w:szCs w:val="21"/>
                <w:lang w:eastAsia="zh-CN"/>
              </w:rPr>
              <w:t>R</w:t>
            </w:r>
            <w:r>
              <w:rPr>
                <w:rFonts w:ascii="宋体" w:hAnsi="宋体" w:eastAsia="宋体"/>
                <w:sz w:val="21"/>
                <w:szCs w:val="21"/>
                <w:lang w:eastAsia="zh-CN"/>
              </w:rPr>
              <w:t>evision</w:t>
            </w:r>
          </w:p>
        </w:tc>
        <w:tc>
          <w:tcPr>
            <w:tcW w:w="60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2</w:t>
            </w:r>
          </w:p>
        </w:tc>
        <w:tc>
          <w:tcPr>
            <w:tcW w:w="4273" w:type="dxa"/>
            <w:gridSpan w:val="3"/>
            <w:tcBorders>
              <w:top w:val="single" w:color="auto" w:sz="4" w:space="0"/>
              <w:left w:val="single" w:color="auto" w:sz="4" w:space="0"/>
              <w:bottom w:val="single" w:color="auto" w:sz="4" w:space="0"/>
              <w:right w:val="single" w:color="auto" w:sz="4" w:space="0"/>
            </w:tcBorders>
          </w:tcPr>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教学内容：knowledge brush and conclusion</w:t>
            </w:r>
          </w:p>
          <w:p>
            <w:pPr>
              <w:tabs>
                <w:tab w:val="left" w:pos="720"/>
                <w:tab w:val="left" w:pos="1440"/>
              </w:tabs>
              <w:ind w:firstLine="420" w:firstLineChars="200"/>
              <w:jc w:val="left"/>
              <w:rPr>
                <w:rFonts w:ascii="宋体" w:hAnsi="宋体" w:eastAsia="宋体"/>
                <w:sz w:val="21"/>
                <w:szCs w:val="21"/>
                <w:lang w:eastAsia="zh-CN"/>
              </w:rPr>
            </w:pPr>
            <w:r>
              <w:rPr>
                <w:rFonts w:hint="eastAsia" w:ascii="宋体" w:hAnsi="宋体" w:eastAsia="宋体"/>
                <w:sz w:val="21"/>
                <w:szCs w:val="21"/>
                <w:lang w:eastAsia="zh-CN"/>
              </w:rPr>
              <w:t>教学重点：Revision</w:t>
            </w:r>
          </w:p>
        </w:tc>
        <w:tc>
          <w:tcPr>
            <w:tcW w:w="51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讲授</w:t>
            </w:r>
          </w:p>
        </w:tc>
        <w:tc>
          <w:tcPr>
            <w:tcW w:w="1686" w:type="dxa"/>
            <w:tcBorders>
              <w:top w:val="single" w:color="auto" w:sz="4" w:space="0"/>
              <w:left w:val="single" w:color="auto" w:sz="4" w:space="0"/>
              <w:bottom w:val="single" w:color="auto" w:sz="4" w:space="0"/>
              <w:right w:val="single" w:color="auto" w:sz="4" w:space="0"/>
            </w:tcBorders>
          </w:tcPr>
          <w:p>
            <w:pPr>
              <w:tabs>
                <w:tab w:val="left" w:pos="720"/>
                <w:tab w:val="left" w:pos="1440"/>
              </w:tabs>
              <w:jc w:val="left"/>
              <w:rPr>
                <w:rFonts w:ascii="宋体" w:hAnsi="宋体" w:eastAsia="宋体"/>
                <w:sz w:val="21"/>
                <w:szCs w:val="21"/>
                <w:lang w:eastAsia="zh-CN"/>
              </w:rPr>
            </w:pPr>
            <w:r>
              <w:rPr>
                <w:rFonts w:hint="eastAsia" w:ascii="宋体" w:hAnsi="宋体" w:eastAsia="宋体"/>
                <w:sz w:val="21"/>
                <w:szCs w:val="21"/>
                <w:lang w:eastAsia="zh-CN"/>
              </w:rPr>
              <w:t>掌握教学难点：the main points in the whole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2"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05"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32</w:t>
            </w:r>
          </w:p>
        </w:tc>
        <w:tc>
          <w:tcPr>
            <w:tcW w:w="4273" w:type="dxa"/>
            <w:gridSpan w:val="3"/>
            <w:tcBorders>
              <w:top w:val="single" w:color="auto" w:sz="4" w:space="0"/>
            </w:tcBorders>
            <w:vAlign w:val="center"/>
          </w:tcPr>
          <w:p>
            <w:pPr>
              <w:spacing w:after="0" w:line="0" w:lineRule="atLeast"/>
              <w:rPr>
                <w:rFonts w:ascii="宋体" w:hAnsi="宋体" w:eastAsia="宋体"/>
                <w:sz w:val="21"/>
                <w:szCs w:val="21"/>
              </w:rPr>
            </w:pPr>
          </w:p>
        </w:tc>
        <w:tc>
          <w:tcPr>
            <w:tcW w:w="515" w:type="dxa"/>
            <w:gridSpan w:val="2"/>
            <w:tcBorders>
              <w:top w:val="single" w:color="auto" w:sz="4" w:space="0"/>
            </w:tcBorders>
            <w:vAlign w:val="center"/>
          </w:tcPr>
          <w:p>
            <w:pPr>
              <w:spacing w:after="0" w:line="0" w:lineRule="atLeast"/>
              <w:rPr>
                <w:rFonts w:ascii="宋体" w:hAnsi="宋体" w:eastAsia="宋体"/>
                <w:sz w:val="21"/>
                <w:szCs w:val="21"/>
              </w:rPr>
            </w:pPr>
          </w:p>
        </w:tc>
        <w:tc>
          <w:tcPr>
            <w:tcW w:w="1686"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75"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267"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2159"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75" w:type="dxa"/>
            <w:gridSpan w:val="2"/>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到堂情况</w:t>
            </w:r>
          </w:p>
        </w:tc>
        <w:tc>
          <w:tcPr>
            <w:tcW w:w="5267" w:type="dxa"/>
            <w:gridSpan w:val="6"/>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不得无故缺席，上课勤做笔记，积极回答问题</w:t>
            </w:r>
          </w:p>
        </w:tc>
        <w:tc>
          <w:tcPr>
            <w:tcW w:w="2159" w:type="dxa"/>
            <w:gridSpan w:val="2"/>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75" w:type="dxa"/>
            <w:gridSpan w:val="2"/>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课堂讨论</w:t>
            </w:r>
          </w:p>
        </w:tc>
        <w:tc>
          <w:tcPr>
            <w:tcW w:w="5267" w:type="dxa"/>
            <w:gridSpan w:val="6"/>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认真准备，积极参与讨论</w:t>
            </w:r>
          </w:p>
        </w:tc>
        <w:tc>
          <w:tcPr>
            <w:tcW w:w="2159" w:type="dxa"/>
            <w:gridSpan w:val="2"/>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75" w:type="dxa"/>
            <w:gridSpan w:val="2"/>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课后作业</w:t>
            </w:r>
          </w:p>
        </w:tc>
        <w:tc>
          <w:tcPr>
            <w:tcW w:w="5267" w:type="dxa"/>
            <w:gridSpan w:val="6"/>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每次作业教师均会根据所讲内容以及需要延伸的内容，提出具体要求，布置相关作业</w:t>
            </w:r>
          </w:p>
        </w:tc>
        <w:tc>
          <w:tcPr>
            <w:tcW w:w="2159" w:type="dxa"/>
            <w:gridSpan w:val="2"/>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75" w:type="dxa"/>
            <w:gridSpan w:val="2"/>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期末考核</w:t>
            </w:r>
          </w:p>
        </w:tc>
        <w:tc>
          <w:tcPr>
            <w:tcW w:w="5267" w:type="dxa"/>
            <w:gridSpan w:val="6"/>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闭卷考试，考试内容既要考察学生对会计基本概念、基本原理和基本方法的理解，也要注重实例分析和实际应用，避免死记硬背。考试题型一般为单选题、判断题、简答题、分析题以及制表题。</w:t>
            </w:r>
          </w:p>
          <w:p>
            <w:pPr>
              <w:spacing w:line="360" w:lineRule="auto"/>
              <w:jc w:val="left"/>
              <w:rPr>
                <w:rFonts w:ascii="宋体" w:hAnsi="宋体" w:eastAsia="宋体"/>
                <w:sz w:val="21"/>
                <w:szCs w:val="21"/>
                <w:lang w:eastAsia="zh-CN"/>
              </w:rPr>
            </w:pPr>
          </w:p>
        </w:tc>
        <w:tc>
          <w:tcPr>
            <w:tcW w:w="2159" w:type="dxa"/>
            <w:gridSpan w:val="2"/>
          </w:tcPr>
          <w:p>
            <w:pPr>
              <w:spacing w:line="360" w:lineRule="auto"/>
              <w:jc w:val="left"/>
              <w:rPr>
                <w:rFonts w:ascii="宋体" w:hAnsi="宋体" w:eastAsia="宋体"/>
                <w:sz w:val="21"/>
                <w:szCs w:val="21"/>
                <w:lang w:eastAsia="zh-CN"/>
              </w:rPr>
            </w:pPr>
            <w:r>
              <w:rPr>
                <w:rFonts w:hint="eastAsia" w:ascii="宋体" w:hAnsi="宋体" w:eastAsia="宋体"/>
                <w:sz w:val="21"/>
                <w:szCs w:val="21"/>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大纲编写时间：2018年3月4日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Calibri Light">
    <w:altName w:val="Calibri"/>
    <w:panose1 w:val="00000000000000000000"/>
    <w:charset w:val="00"/>
    <w:family w:val="swiss"/>
    <w:pitch w:val="default"/>
    <w:sig w:usb0="00000000" w:usb1="00000000" w:usb2="00000000" w:usb3="00000000" w:csb0="000001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77B9E"/>
    <w:multiLevelType w:val="multilevel"/>
    <w:tmpl w:val="47B77B9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30300"/>
    <w:rsid w:val="00045212"/>
    <w:rsid w:val="00061F27"/>
    <w:rsid w:val="0006698D"/>
    <w:rsid w:val="00087B74"/>
    <w:rsid w:val="000B2D0F"/>
    <w:rsid w:val="000B626E"/>
    <w:rsid w:val="000C2D4A"/>
    <w:rsid w:val="000C4A58"/>
    <w:rsid w:val="000D7BB8"/>
    <w:rsid w:val="000E0AE8"/>
    <w:rsid w:val="00155E5A"/>
    <w:rsid w:val="00171228"/>
    <w:rsid w:val="001B31E9"/>
    <w:rsid w:val="001D28E8"/>
    <w:rsid w:val="001D4DE7"/>
    <w:rsid w:val="001F20BC"/>
    <w:rsid w:val="002111AE"/>
    <w:rsid w:val="00227119"/>
    <w:rsid w:val="002E27E1"/>
    <w:rsid w:val="003044FA"/>
    <w:rsid w:val="00323B0E"/>
    <w:rsid w:val="0037561C"/>
    <w:rsid w:val="00380737"/>
    <w:rsid w:val="003C66D8"/>
    <w:rsid w:val="003E66A6"/>
    <w:rsid w:val="003E7883"/>
    <w:rsid w:val="00414FC8"/>
    <w:rsid w:val="00415A6F"/>
    <w:rsid w:val="00457E42"/>
    <w:rsid w:val="004636F8"/>
    <w:rsid w:val="004B3994"/>
    <w:rsid w:val="004D29DE"/>
    <w:rsid w:val="004E0481"/>
    <w:rsid w:val="004E7804"/>
    <w:rsid w:val="00547FF6"/>
    <w:rsid w:val="005553DA"/>
    <w:rsid w:val="005639AB"/>
    <w:rsid w:val="005908B2"/>
    <w:rsid w:val="005911D3"/>
    <w:rsid w:val="005F174F"/>
    <w:rsid w:val="0063410F"/>
    <w:rsid w:val="0065651C"/>
    <w:rsid w:val="00735FDE"/>
    <w:rsid w:val="00770B6D"/>
    <w:rsid w:val="00770F0D"/>
    <w:rsid w:val="00776AF2"/>
    <w:rsid w:val="00785779"/>
    <w:rsid w:val="007A154B"/>
    <w:rsid w:val="007F41D4"/>
    <w:rsid w:val="008147FF"/>
    <w:rsid w:val="00815F78"/>
    <w:rsid w:val="008512DF"/>
    <w:rsid w:val="008546FF"/>
    <w:rsid w:val="00855020"/>
    <w:rsid w:val="00885EED"/>
    <w:rsid w:val="00892ADC"/>
    <w:rsid w:val="00896971"/>
    <w:rsid w:val="008C510C"/>
    <w:rsid w:val="008F6642"/>
    <w:rsid w:val="00917C66"/>
    <w:rsid w:val="009349EE"/>
    <w:rsid w:val="00935DF5"/>
    <w:rsid w:val="00985AF6"/>
    <w:rsid w:val="009A2B5C"/>
    <w:rsid w:val="009B3EAE"/>
    <w:rsid w:val="009C3354"/>
    <w:rsid w:val="009D3079"/>
    <w:rsid w:val="00A11086"/>
    <w:rsid w:val="00A13F54"/>
    <w:rsid w:val="00A828E5"/>
    <w:rsid w:val="00A84D68"/>
    <w:rsid w:val="00A85774"/>
    <w:rsid w:val="00AA199F"/>
    <w:rsid w:val="00AB00C2"/>
    <w:rsid w:val="00AD5461"/>
    <w:rsid w:val="00AE48DD"/>
    <w:rsid w:val="00AF1DFC"/>
    <w:rsid w:val="00AF4592"/>
    <w:rsid w:val="00B05FEC"/>
    <w:rsid w:val="00B670F9"/>
    <w:rsid w:val="00BB2E14"/>
    <w:rsid w:val="00BB35F5"/>
    <w:rsid w:val="00C248C3"/>
    <w:rsid w:val="00C41D05"/>
    <w:rsid w:val="00C479CB"/>
    <w:rsid w:val="00C705DD"/>
    <w:rsid w:val="00C76FA2"/>
    <w:rsid w:val="00CA1AB8"/>
    <w:rsid w:val="00CC4A46"/>
    <w:rsid w:val="00CD2F8F"/>
    <w:rsid w:val="00D10E9B"/>
    <w:rsid w:val="00D45246"/>
    <w:rsid w:val="00D62B41"/>
    <w:rsid w:val="00D77ECA"/>
    <w:rsid w:val="00DB45CF"/>
    <w:rsid w:val="00DB5724"/>
    <w:rsid w:val="00DD2D5D"/>
    <w:rsid w:val="00DD3D0C"/>
    <w:rsid w:val="00DF5C03"/>
    <w:rsid w:val="00E0505F"/>
    <w:rsid w:val="00E413E8"/>
    <w:rsid w:val="00E53E23"/>
    <w:rsid w:val="00EC2295"/>
    <w:rsid w:val="00ED3FCA"/>
    <w:rsid w:val="00F31667"/>
    <w:rsid w:val="00F617C2"/>
    <w:rsid w:val="00F71B40"/>
    <w:rsid w:val="00F96D96"/>
    <w:rsid w:val="00FA47EB"/>
    <w:rsid w:val="00FC57B8"/>
    <w:rsid w:val="00FE22C8"/>
    <w:rsid w:val="28AD1D92"/>
    <w:rsid w:val="2C23799B"/>
    <w:rsid w:val="55E95C9A"/>
    <w:rsid w:val="62602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9357C2-510E-4443-8E04-EC59D1C722E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660</Words>
  <Characters>3763</Characters>
  <Lines>31</Lines>
  <Paragraphs>8</Paragraphs>
  <TotalTime>0</TotalTime>
  <ScaleCrop>false</ScaleCrop>
  <LinksUpToDate>false</LinksUpToDate>
  <CharactersWithSpaces>4415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Lenovo</cp:lastModifiedBy>
  <cp:lastPrinted>2017-01-05T16:24:00Z</cp:lastPrinted>
  <dcterms:modified xsi:type="dcterms:W3CDTF">2018-04-16T05:51:21Z</dcterms:modifi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